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880" w:rsidRPr="00D53880" w:rsidRDefault="00D53880" w:rsidP="00D53880">
      <w:pPr>
        <w:spacing w:line="240" w:lineRule="auto"/>
        <w:ind w:firstLine="540"/>
        <w:jc w:val="center"/>
        <w:rPr>
          <w:rFonts w:ascii="Calibri" w:eastAsia="Times New Roman" w:hAnsi="Calibri" w:cs="Times New Roman"/>
          <w:b/>
          <w:bCs/>
          <w:color w:val="7030A0"/>
          <w:sz w:val="32"/>
          <w:szCs w:val="32"/>
          <w:lang w:val="uk-UA" w:eastAsia="uk-UA"/>
        </w:rPr>
      </w:pPr>
      <w:r w:rsidRPr="00D53880">
        <w:rPr>
          <w:rFonts w:ascii="Calibri" w:eastAsia="Times New Roman" w:hAnsi="Calibri" w:cs="Times New Roman"/>
          <w:b/>
          <w:bCs/>
          <w:color w:val="7030A0"/>
          <w:sz w:val="32"/>
          <w:szCs w:val="32"/>
          <w:lang w:val="uk-UA" w:eastAsia="uk-UA"/>
        </w:rPr>
        <w:t>Календарно-тематичне планування</w:t>
      </w:r>
    </w:p>
    <w:p w:rsidR="00D53880" w:rsidRPr="00D53880" w:rsidRDefault="00D53880" w:rsidP="00D53880">
      <w:pPr>
        <w:spacing w:line="240" w:lineRule="auto"/>
        <w:ind w:firstLine="540"/>
        <w:jc w:val="center"/>
        <w:rPr>
          <w:rFonts w:ascii="Calibri" w:eastAsia="Times New Roman" w:hAnsi="Calibri" w:cs="Times New Roman"/>
          <w:b/>
          <w:bCs/>
          <w:color w:val="7030A0"/>
          <w:sz w:val="32"/>
          <w:szCs w:val="32"/>
          <w:lang w:val="uk-UA" w:eastAsia="uk-UA"/>
        </w:rPr>
      </w:pPr>
      <w:r w:rsidRPr="00D53880">
        <w:rPr>
          <w:rFonts w:ascii="Calibri" w:eastAsia="Times New Roman" w:hAnsi="Calibri" w:cs="Times New Roman"/>
          <w:b/>
          <w:bCs/>
          <w:color w:val="7030A0"/>
          <w:sz w:val="32"/>
          <w:szCs w:val="32"/>
          <w:lang w:val="uk-UA" w:eastAsia="uk-UA"/>
        </w:rPr>
        <w:t>уроків української літератури</w:t>
      </w:r>
    </w:p>
    <w:p w:rsidR="00D53880" w:rsidRPr="00D53880" w:rsidRDefault="00D53880" w:rsidP="00D53880">
      <w:pPr>
        <w:spacing w:line="240" w:lineRule="auto"/>
        <w:ind w:right="-1068"/>
        <w:jc w:val="center"/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val="uk-UA" w:eastAsia="uk-UA"/>
        </w:rPr>
      </w:pPr>
      <w:r w:rsidRPr="00D53880">
        <w:rPr>
          <w:rFonts w:ascii="Arial Black" w:eastAsia="Times New Roman" w:hAnsi="Arial Black" w:cs="Times New Roman"/>
          <w:b/>
          <w:bCs/>
          <w:color w:val="7030A0"/>
          <w:sz w:val="32"/>
          <w:szCs w:val="32"/>
          <w:lang w:val="uk-UA" w:eastAsia="uk-UA"/>
        </w:rPr>
        <w:t>11 клас</w:t>
      </w:r>
    </w:p>
    <w:tbl>
      <w:tblPr>
        <w:tblW w:w="5683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8"/>
        <w:gridCol w:w="966"/>
        <w:gridCol w:w="7847"/>
        <w:gridCol w:w="1377"/>
      </w:tblGrid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  <w:t>№ з/п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3607" w:type="pct"/>
            <w:vAlign w:val="center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  <w:t>Тема уроку</w:t>
            </w:r>
          </w:p>
        </w:tc>
        <w:tc>
          <w:tcPr>
            <w:tcW w:w="633" w:type="pct"/>
            <w:vAlign w:val="center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color w:val="7030A0"/>
                <w:sz w:val="24"/>
                <w:szCs w:val="24"/>
                <w:lang w:val="uk-UA" w:eastAsia="uk-UA"/>
              </w:rPr>
              <w:t>Примітки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УКРАЇНСЬКА ЛІТЕРАТУРА 1920-1930 рр.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ВСТУП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Суспільно-історичні умови розвитку української літератури ХХ ст., основні стильові напрями (модернізм, 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en-US" w:eastAsia="uk-UA"/>
              </w:rPr>
              <w:t>c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оцреалізм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, постмодернізм). Українська література ХХ ст. як новий етап в історії національної культури. Актуалізація проблем: митець і влада, свобода творчості.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“розстріляне відродження”.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ПОЕЗІЯ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Провідна роль поезії у 20-ті роки. Потужне ліричне самовираження, емоційне переживання пореволюційної епохи, її духовних катаклізмів. 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Павло Тичина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– найбільший модерніст 20-х років.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Художнє відтворення національно-визвольного пробудження народу, уславлення борців за вільну Україну у вірші </w:t>
            </w: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“Пам’яті тридцяти”</w:t>
            </w:r>
            <w:r w:rsidRPr="00D53880"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Потужне ліричне “Я” як символ нової людини, життєствердний пафос, поєднання тенденцій символізму, неоромантизму, експресіонізму, імпресіонізму. Феномен “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кларнетизму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”. Наскрізна оптимістична тональність, життєствердна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настроєвість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(зб. «Сонячні кларнети»): </w:t>
            </w: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 xml:space="preserve">“Арфами, </w:t>
            </w:r>
            <w:proofErr w:type="spellStart"/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арфами</w:t>
            </w:r>
            <w:proofErr w:type="spellEnd"/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...”, “О панно Інно...”, “Ви знаєте, як липа шелестить...”, “Одчиняйте двері…”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Авангардні тенденції в українській поезії 1920-х років.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Михайль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Семенко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–  поет-футурист, сміливий експериментатор. Урбаністичні мотиви його лірики, їхня змістова новизна, деструкція класичної форми  у віршах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“Бажання”,  “Місто”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й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“Запрошення”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авангард,  футуризм, деструкція. 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rPr>
          <w:trHeight w:val="976"/>
        </w:trPr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Група київських “неокласиків». Їхнє творче кредо, орієнтація на традицію, класичну форму вірша (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«Київ − традиція» М. Зерова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).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Різногранний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творчий шлях митців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 xml:space="preserve"> М. Зерова 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й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 xml:space="preserve"> М. Рильського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Філософічність, афористичність лірики М. Зерова й М. Рильського. Мотиви пошуків душевної рівноваги, краси в житті та в душі,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вітаїзм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сповідальність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у віршах М. Рильського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“Молюсь і вірю...”, “Солодкий світ!..”</w:t>
            </w:r>
            <w:r w:rsidRPr="00D53880">
              <w:rPr>
                <w:rFonts w:ascii="Calibri" w:eastAsia="Times New Roman" w:hAnsi="Calibri" w:cs="Times New Roman"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rPr>
          <w:trHeight w:val="1633"/>
        </w:trPr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Євген Плужник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один із провідних поетів “розстріляного відродження”. Урівноваженість душевного стану ліричного героя      Є. Плужника. Мотив туги за минущістю краси, гармонією світу і людини, мить і вічність у чуттєвому вираженні («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Вчись у природи творчого спокою...», “Ніч... а човен – як срібний птах!..”, “Річний пісок...”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). 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ТЛ: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поглиблення поняття про ліричного героя.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“Громадянський інтим”,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сповідальність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, ліричність, філософічність лірики Є. Плужника (</w:t>
            </w: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“Для вас, історики майбутні...”)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. 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КР № 1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«Поетична творчість П. Тичини, М. Семенка, М. Зерова, М. 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lastRenderedPageBreak/>
              <w:t>Рильського, Є. Плужника» (тест).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lastRenderedPageBreak/>
              <w:t>КР № 1 (тест)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ПРОЗА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Жанрово-стильове розмаїття. Нові теми, проблеми. Часткова ідеологічна заангажованість, її експериментаторські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модерністичні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пошуки, опертя на національну і європейську традиції. Зв’язок із поезією.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Микола Хвильовий.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Життєвий і творчий шлях письменника. Провідна роль  у літературному житті 1920-х рр. Романтичність світобачення. Участь у ВАПЛІТЕ, у проведенні дискусії 1925-1928 рр.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Тематичне й стильове розмаїття прози М. Хвильового. 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“Я (Романтика)”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— новела про добро і зло в житті та в душі. Проблема внутрішнього роздвоєння людини між гуманізмом і обов’язком.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Григорій Косинка.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Трагічна доля митця. Змалювання строкатої картини життя крізь призму долі й душі людини. Перевага імпресіонізму в стильовій палітрі. </w:t>
            </w: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“В житах”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- зупинена  мить, пошуки порушеної гармонії.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Вітаїстичний пафос, імпресіоністична настроєність у новелі Г. Косинки «В житах».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ТЛ: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поглиблення поняття про імпресіонізм.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Юрій Яновський.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Творча біографія митця. Романтичність світовідчуття й стилю в ранній творчості. Роман у новелах </w:t>
            </w: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“Вершники”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 «реабілітаційний двійник» «Чотирьох шабель».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ТЛ: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роман у новелах.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Умовність зображення в новелі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“Подвійне коло”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ідея протиставлення загальнолюдських вартостей класовим. Проблема розпаду роду, родини як трагедія народу.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художній час і простір, умовність зображення.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Ідея нетлінної вартості національних основ буття, спадковості поколінь, духовної пам’яті  в новелі Ю. Яновського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“Дитинство”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Утвердження високих загальнолюдських ідеалів вірності й кохання, відданості громадянському обов’язку в новелі Ю. Яновського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“Шаланда в морі”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Валер’ян Підмогильний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Життєвий шлях письменника.  Автор інтелектуально-психологічної прози, перекладач. Світовий мотив підкорення людиною міста, самоутвердження, інтерпретовані на національному матеріалі в романі </w:t>
            </w: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«Місто»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Зображення  “цілісної” людини в єдності біологічного, духовного, соціального.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ТЛ: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екзистенціалізм,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маргінальність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психологізм, іронія.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Усний навчальний міні-твір на тему «Чи підкорив місто Степан Радченко?»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iCs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iCs/>
                <w:sz w:val="24"/>
                <w:szCs w:val="24"/>
                <w:lang w:val="uk-UA" w:eastAsia="uk-UA"/>
              </w:rPr>
              <w:t>РМ (усний навчальний міні-твір)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Остап Вишня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Трагічна творча доля українського гумориста, велика популярність і значення його усмішок у 1920-ті роки.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Засоби гумору в усмішці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“Моя автобіографія”.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усмішка.  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Оптимізм, любов до природи, людини, м’який гумор як риси індивідуального почерку Остапа Вишні в «Мисливських усмішках»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“Сом”, “Як варити і їсти суп із дикої качки”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Проза 20-30-х років (узагальнення й систематизація вивченого).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КР № 2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«Проза 20-30-х років. Творчість М. Хвильового, Ю. Яновського, Г. Косинки й О. Вишні» (тест).    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 № 2 (тест)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ДРАМАТУРГІЯ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Розвиток національного театру (“Березіль” Леся Курбаса, Харківський театр ім. І. Франка), драматургії 1920−1930 рр.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sz w:val="24"/>
                <w:szCs w:val="24"/>
                <w:lang w:val="uk-UA" w:eastAsia="uk-UA"/>
              </w:rPr>
              <w:t>Микола Куліш.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Життєвий і творчий шлях митця. Зв'язок із театром Л. 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lastRenderedPageBreak/>
              <w:t xml:space="preserve">Курбаса. Національний матеріал і вселюдські «вічні» мотиви та проблеми у п’єсах . 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23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Сатирична комедія  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«Мина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Мазайло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»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Особливості сюжету. Розвінчання національного нігілізму, духовної обмеженості на матеріалі українізації (Мина, Мокій, дядько Тарас, тьотя Мотя). Сатиричне викриття бездуховності обивателів, що зрікаються своєї мови, культури, родового коріння.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Драматургічна майстерність автора  у створенні комічних характерів і ситуацій, у використанні діалогів та ремарок, у мовній характеристиці героїв. Сценічне втілення. Актуальність п’єси в наш час. 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ТЛ: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сатирична комедія.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РМ (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кон-трольний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 домашній твір)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УКРАЇНСЬКА ЛІТЕРАТУРА ЗА МЕЖАМИ УКРАЇНИ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Література в Західній Україні (до 1939 р.)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Автономність, відкритість зарубіжним традиціям і новітнім процесам, високий розвиток літератури в Західній Україні до 1939 р. </w:t>
            </w:r>
          </w:p>
          <w:p w:rsidR="00D53880" w:rsidRPr="00D53880" w:rsidRDefault="00D53880" w:rsidP="00D53880">
            <w:pPr>
              <w:widowControl w:val="0"/>
              <w:spacing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 xml:space="preserve">Богдан-Ігор Антонич. 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 xml:space="preserve">Життя і творчість. Аполітичність, наскрізна </w:t>
            </w:r>
            <w:proofErr w:type="spellStart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життєствердність</w:t>
            </w:r>
            <w:proofErr w:type="spellEnd"/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, метафоричність (</w:t>
            </w:r>
            <w:r w:rsidRPr="00D5388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uk-UA" w:eastAsia="uk-UA"/>
              </w:rPr>
              <w:t>“Автопортрет”, “Дороги”)</w:t>
            </w:r>
            <w:r w:rsidRPr="00D53880"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  <w:t>. Лемківська конкретика як джерело образних асоціацій.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line="240" w:lineRule="auto"/>
              <w:rPr>
                <w:rFonts w:ascii="Calibri" w:eastAsia="Times New Roman" w:hAnsi="Calibri" w:cs="Times New Roman"/>
                <w:sz w:val="24"/>
                <w:szCs w:val="24"/>
                <w:lang w:val="uk-UA" w:eastAsia="uk-UA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Міфологізм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поезій. Поєднання язичницьких мотивів із християнськими;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міфологічність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образу, екзотика лемківського краю в контексті вселюдських мотивів у поезіях</w:t>
            </w: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“Вишні”, “Зелена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євангелія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”, “Різдво”</w:t>
            </w: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міфологізм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асоцітивність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Осип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Турянський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Коротко про письменника. Історичний матеріал Першої світової війни як предмет художнього узагальнення у творі </w:t>
            </w: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«Поза межами болю»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Поема у прозі, що хвилює, єднає людські серця, звільняє і просвітлює душу.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ТЛ:</w:t>
            </w: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поема у прозі.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Умовність зображення (події поза конкретним часом і простором) у поемі «Поза межами болю» О.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Турянського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Загальнолюдські мотиви й гуманістичні цінності. Біологічні інстинкти й духовна воля до життя. Ідея перемоги духа над матерією. Гуманістичний, життєствердний пафос поеми у прозі, його вселюдська значимість і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всеохопність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РМ КР № 3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«Література в Західній Україні» (контрольний твір).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КР № 3 </w:t>
            </w: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РМ (твір)</w:t>
            </w: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Література в Західній Україні (до 1939 р.) (узагальнення й систематизація вивченого).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53880" w:rsidRPr="00D53880" w:rsidTr="00D53880">
        <w:tc>
          <w:tcPr>
            <w:tcW w:w="316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444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07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УПЧ </w:t>
            </w:r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«Марія» Уласа </w:t>
            </w:r>
            <w:proofErr w:type="spellStart"/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Самчука</w:t>
            </w:r>
            <w:proofErr w:type="spellEnd"/>
            <w:r w:rsidRPr="00D538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633" w:type="pct"/>
          </w:tcPr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538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УПЧ</w:t>
            </w:r>
          </w:p>
        </w:tc>
      </w:tr>
      <w:tr w:rsidR="00D53880" w:rsidRPr="00D53880" w:rsidTr="00D53880">
        <w:trPr>
          <w:trHeight w:val="600"/>
        </w:trPr>
        <w:tc>
          <w:tcPr>
            <w:tcW w:w="5000" w:type="pct"/>
            <w:gridSpan w:val="4"/>
            <w:tcBorders>
              <w:left w:val="nil"/>
              <w:right w:val="nil"/>
            </w:tcBorders>
          </w:tcPr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D53880" w:rsidRPr="00D53880" w:rsidRDefault="00D53880" w:rsidP="00D5388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4E4D32" w:rsidRDefault="00D53880"/>
    <w:sectPr w:rsidR="004E4D32" w:rsidSect="00D5388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80"/>
    <w:rsid w:val="00030DDD"/>
    <w:rsid w:val="00056DD9"/>
    <w:rsid w:val="0038600D"/>
    <w:rsid w:val="005E60B0"/>
    <w:rsid w:val="00D5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6262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Іванівна</dc:creator>
  <cp:keywords/>
  <dc:description/>
  <cp:lastModifiedBy>Валентина Іванівна</cp:lastModifiedBy>
  <cp:revision>1</cp:revision>
  <dcterms:created xsi:type="dcterms:W3CDTF">2013-09-17T18:40:00Z</dcterms:created>
  <dcterms:modified xsi:type="dcterms:W3CDTF">2013-09-17T18:41:00Z</dcterms:modified>
</cp:coreProperties>
</file>